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3960"/>
        <w:gridCol w:w="2430"/>
        <w:gridCol w:w="2430"/>
      </w:tblGrid>
      <w:tr w:rsidR="00705CF6" w:rsidRPr="00303C7E" w:rsidTr="00393718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CF6" w:rsidRPr="00303C7E" w:rsidRDefault="00705CF6" w:rsidP="000F7828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CF6" w:rsidRPr="00303C7E" w:rsidRDefault="00705CF6" w:rsidP="000F7828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CF6" w:rsidRPr="00303C7E" w:rsidRDefault="00705CF6" w:rsidP="000F7828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CF6" w:rsidRPr="00303C7E" w:rsidRDefault="00705CF6" w:rsidP="000F7828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E8127" wp14:editId="77CD924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828" w:rsidRPr="00A203BC" w:rsidRDefault="000F7828" w:rsidP="00705CF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2nd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0F7828" w:rsidRPr="00A203BC" w:rsidRDefault="000F7828" w:rsidP="00705C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2nd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CF6" w:rsidRPr="00303C7E" w:rsidRDefault="00393718" w:rsidP="000F7828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5CF6" w:rsidRPr="00303C7E" w:rsidRDefault="00393718" w:rsidP="000F7828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- Literature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&amp; Details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RL.8.3  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how particular lines of dialogue or incidents in a story or drama propel the action, reveal aspects of a character, or provoke a decision. 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analyze how dialogue</w:t>
            </w:r>
            <w:r>
              <w:rPr>
                <w:rFonts w:ascii="Calibri" w:hAnsi="Calibri"/>
                <w:color w:val="000000"/>
              </w:rPr>
              <w:br/>
              <w:t xml:space="preserve"> or speciﬁc incidents reveal information about characters </w:t>
            </w:r>
            <w:proofErr w:type="gramStart"/>
            <w:r>
              <w:rPr>
                <w:rFonts w:ascii="Calibri" w:hAnsi="Calibri"/>
                <w:color w:val="000000"/>
              </w:rPr>
              <w:t>or  move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plot forward.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dialogue, analyze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Craft &amp; Structure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RL.8.4  Determine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meaning of words and phrases as they are used in a text, including figurative and connotative meanings; analyze the impact of specific word choices on meaning and tone,</w:t>
            </w:r>
            <w:r>
              <w:rPr>
                <w:rFonts w:ascii="Calibri" w:hAnsi="Calibri"/>
                <w:color w:val="000000"/>
              </w:rPr>
              <w:br/>
              <w:t>including analogies or allusions to other texts. 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determine the ﬁgurative</w:t>
            </w:r>
            <w:r>
              <w:rPr>
                <w:rFonts w:ascii="Calibri" w:hAnsi="Calibri"/>
                <w:color w:val="000000"/>
              </w:rPr>
              <w:br/>
              <w:t xml:space="preserve"> and connotative meaning of words and phrases based on    </w:t>
            </w:r>
            <w:r>
              <w:rPr>
                <w:rFonts w:ascii="Calibri" w:hAnsi="Calibri"/>
                <w:color w:val="000000"/>
              </w:rPr>
              <w:br/>
              <w:t xml:space="preserve">how they are used in a text.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>* I can analyze the impact word choice on the meaning or tone of a text.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figurative language, </w:t>
            </w:r>
            <w:r>
              <w:rPr>
                <w:rFonts w:ascii="Calibri" w:hAnsi="Calibri"/>
                <w:color w:val="000000"/>
              </w:rPr>
              <w:br/>
              <w:t>denotative meaning, analogy, literal language, connotative meaning, allusion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RL.8.6  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how differences in the points of view of the characters and the audience or reader (e.g., created through the use of dramatic irony) create such effects as suspense or humor.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analyze how differences</w:t>
            </w:r>
            <w:r>
              <w:rPr>
                <w:rFonts w:ascii="Calibri" w:hAnsi="Calibri"/>
                <w:color w:val="000000"/>
              </w:rPr>
              <w:br/>
              <w:t xml:space="preserve"> in point of view create suspense or humor.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point of view, </w:t>
            </w:r>
            <w:r>
              <w:rPr>
                <w:rFonts w:ascii="Calibri" w:hAnsi="Calibri"/>
                <w:color w:val="000000"/>
              </w:rPr>
              <w:br/>
              <w:t>dramatic irony, suspense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RL.8.7  Analyze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the extent to which a filmed or live production of a story or drama stays faithful to or departs from the text or script, evaluating the</w:t>
            </w:r>
            <w:r>
              <w:rPr>
                <w:rFonts w:ascii="Calibri" w:hAnsi="Calibri"/>
                <w:color w:val="000000"/>
              </w:rPr>
              <w:br/>
              <w:t>choices made by the director or actors.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analyze how a </w:t>
            </w:r>
            <w:proofErr w:type="gramStart"/>
            <w:r>
              <w:rPr>
                <w:rFonts w:ascii="Calibri" w:hAnsi="Calibri"/>
                <w:color w:val="000000"/>
              </w:rPr>
              <w:t>production  of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 text differs from the written text.</w:t>
            </w:r>
            <w:r>
              <w:rPr>
                <w:rFonts w:ascii="Calibri" w:hAnsi="Calibri"/>
                <w:color w:val="000000"/>
              </w:rPr>
              <w:br/>
              <w:t>* I can evaluate the choices made by the director/actors.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compare, contrast,</w:t>
            </w:r>
            <w:r>
              <w:rPr>
                <w:rFonts w:ascii="Calibri" w:hAnsi="Calibri"/>
                <w:color w:val="000000"/>
              </w:rPr>
              <w:br/>
              <w:t xml:space="preserve"> analyze, evaluate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520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Key Ideas &amp; Details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RI.8.3 Analyze how a text makes connections among and distinctions between individuals, ideas, or </w:t>
            </w:r>
            <w:proofErr w:type="gramStart"/>
            <w:r>
              <w:rPr>
                <w:rFonts w:ascii="Calibri" w:hAnsi="Calibri"/>
                <w:color w:val="000000"/>
              </w:rPr>
              <w:t>events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(e.g., through comparisons. analogies, or categories). </w:t>
            </w:r>
            <w:r w:rsidRPr="00705CF6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analyze how a text</w:t>
            </w:r>
            <w:r>
              <w:rPr>
                <w:rFonts w:ascii="Calibri" w:hAnsi="Calibri"/>
                <w:color w:val="000000"/>
              </w:rPr>
              <w:br/>
              <w:t xml:space="preserve"> makes connections among individuals, ideas, and/or events.</w:t>
            </w:r>
            <w:r>
              <w:rPr>
                <w:rFonts w:ascii="Calibri" w:hAnsi="Calibri"/>
                <w:color w:val="000000"/>
              </w:rPr>
              <w:br/>
              <w:t>* I can analyze how a text</w:t>
            </w:r>
            <w:r>
              <w:rPr>
                <w:rFonts w:ascii="Calibri" w:hAnsi="Calibri"/>
                <w:color w:val="000000"/>
              </w:rPr>
              <w:br/>
              <w:t xml:space="preserve"> makes distinctions between individuals, ideas, and/or events.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individual, event,</w:t>
            </w:r>
            <w:r>
              <w:rPr>
                <w:rFonts w:ascii="Calibri" w:hAnsi="Calibri"/>
                <w:color w:val="000000"/>
              </w:rPr>
              <w:br/>
              <w:t xml:space="preserve"> idea, connection, distinction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Reading – Informational Text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Integration of Knowledge &amp; Ideas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RI.8.8 Delineate and evaluate the argument and specific claims in a text, assessing whether the reasoning is sound and the evidence is relevant and sufficient; recognize when irrelevant evidence is introduced. </w:t>
            </w:r>
          </w:p>
          <w:p w:rsidR="00393718" w:rsidRPr="00705CF6" w:rsidRDefault="00393718">
            <w:pPr>
              <w:rPr>
                <w:rFonts w:ascii="Calibri" w:hAnsi="Calibri"/>
                <w:b/>
                <w:color w:val="000000"/>
              </w:rPr>
            </w:pPr>
            <w:r w:rsidRPr="00705CF6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(delineate) trace and evaluate the</w:t>
            </w:r>
            <w:r>
              <w:rPr>
                <w:rFonts w:ascii="Calibri" w:hAnsi="Calibri"/>
                <w:color w:val="000000"/>
              </w:rPr>
              <w:br/>
              <w:t xml:space="preserve"> argument and claims in a text.</w:t>
            </w:r>
            <w:r>
              <w:rPr>
                <w:rFonts w:ascii="Calibri" w:hAnsi="Calibri"/>
                <w:color w:val="000000"/>
              </w:rPr>
              <w:br/>
              <w:t xml:space="preserve">* I can assess whether an author’s reasoning is sound and whether he has enough evidence to support the claims </w:t>
            </w:r>
            <w:proofErr w:type="gramStart"/>
            <w:r>
              <w:rPr>
                <w:rFonts w:ascii="Calibri" w:hAnsi="Calibri"/>
                <w:color w:val="000000"/>
              </w:rPr>
              <w:t>one  makes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br/>
              <w:t xml:space="preserve">* I </w:t>
            </w:r>
            <w:proofErr w:type="gramStart"/>
            <w:r>
              <w:rPr>
                <w:rFonts w:ascii="Calibri" w:hAnsi="Calibri"/>
                <w:color w:val="000000"/>
              </w:rPr>
              <w:t>can  recognize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when an author uses irrelevant evidence.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delineate, claim,</w:t>
            </w:r>
            <w:r>
              <w:rPr>
                <w:rFonts w:ascii="Calibri" w:hAnsi="Calibri"/>
                <w:color w:val="000000"/>
              </w:rPr>
              <w:br/>
              <w:t xml:space="preserve"> relevant, argument fact, sufficient, credibility, opinion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a. Introduce a topic clearly, previewing what is to follow; organize ideas, concepts, and</w:t>
            </w:r>
            <w:r>
              <w:rPr>
                <w:rFonts w:ascii="Calibri" w:hAnsi="Calibri"/>
                <w:color w:val="000000"/>
              </w:rPr>
              <w:br/>
              <w:t xml:space="preserve">information into broader categories; include formatting (e.g., headings), graphics (e.g., charts, tables), and multimedia when useful to aiding comprehension. </w:t>
            </w:r>
            <w:r w:rsidRPr="00705CF6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an informative piece which examines a topic and convey ideas.</w:t>
            </w:r>
            <w:r>
              <w:rPr>
                <w:rFonts w:ascii="Calibri" w:hAnsi="Calibri"/>
                <w:color w:val="000000"/>
              </w:rPr>
              <w:br/>
              <w:t xml:space="preserve">* I </w:t>
            </w:r>
            <w:proofErr w:type="gramStart"/>
            <w:r>
              <w:rPr>
                <w:rFonts w:ascii="Calibri" w:hAnsi="Calibri"/>
                <w:color w:val="000000"/>
              </w:rPr>
              <w:t>can  introduce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 topic clearly.</w:t>
            </w:r>
            <w:r>
              <w:rPr>
                <w:rFonts w:ascii="Calibri" w:hAnsi="Calibri"/>
                <w:color w:val="000000"/>
              </w:rPr>
              <w:br/>
              <w:t>* I can organize ideas with appropriate structure and include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formatting,</w:t>
            </w:r>
            <w:r>
              <w:rPr>
                <w:rFonts w:ascii="Calibri" w:hAnsi="Calibri"/>
                <w:color w:val="000000"/>
              </w:rPr>
              <w:br/>
              <w:t>- graphics</w:t>
            </w:r>
            <w:r>
              <w:rPr>
                <w:rFonts w:ascii="Calibri" w:hAnsi="Calibri"/>
                <w:color w:val="000000"/>
              </w:rPr>
              <w:br/>
              <w:t>- multimedia</w:t>
            </w:r>
            <w:r>
              <w:rPr>
                <w:rFonts w:ascii="Calibri" w:hAnsi="Calibri"/>
                <w:color w:val="000000"/>
              </w:rPr>
              <w:br/>
              <w:t xml:space="preserve"> when useful to aid comprehension.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structures,</w:t>
            </w:r>
            <w:r>
              <w:rPr>
                <w:rFonts w:ascii="Calibri" w:hAnsi="Calibri"/>
                <w:color w:val="000000"/>
              </w:rPr>
              <w:br/>
              <w:t xml:space="preserve"> formatting structures, transitions, cohesion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 xml:space="preserve">b. Develop the topic with relevant, well-chosen facts, definitions, concrete details, quotations, or other information and examples. </w:t>
            </w:r>
            <w:r w:rsidRPr="00705CF6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use well-chosen facts, deﬁnitions,  details, and quotations, or other information and examples to develop the topic 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structures,</w:t>
            </w:r>
            <w:r>
              <w:rPr>
                <w:rFonts w:ascii="Calibri" w:hAnsi="Calibri"/>
                <w:color w:val="000000"/>
              </w:rPr>
              <w:br/>
              <w:t xml:space="preserve"> formatting structures, transitions, cohesion, develop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c. Use appropriate and varied transitions to create cohesion and clarify the relationships among</w:t>
            </w:r>
            <w:r>
              <w:rPr>
                <w:rFonts w:ascii="Calibri" w:hAnsi="Calibri"/>
                <w:color w:val="000000"/>
              </w:rPr>
              <w:br/>
              <w:t xml:space="preserve">ideas and concepts. </w:t>
            </w:r>
            <w:r w:rsidRPr="00705CF6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use appropriate </w:t>
            </w:r>
            <w:r>
              <w:rPr>
                <w:rFonts w:ascii="Calibri" w:hAnsi="Calibri"/>
                <w:color w:val="000000"/>
              </w:rPr>
              <w:br/>
              <w:t>transitions to create cohesion and clarify relationships.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structures,</w:t>
            </w:r>
            <w:r>
              <w:rPr>
                <w:rFonts w:ascii="Calibri" w:hAnsi="Calibri"/>
                <w:color w:val="000000"/>
              </w:rPr>
              <w:br/>
              <w:t xml:space="preserve"> formatting structures, transitions, cohesion, clarify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 xml:space="preserve">d. Use precise language and domain-specific vocabulary to inform about or explain the topic. </w:t>
            </w:r>
            <w:r w:rsidRPr="00705CF6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precise language</w:t>
            </w:r>
            <w:r>
              <w:rPr>
                <w:rFonts w:ascii="Calibri" w:hAnsi="Calibri"/>
                <w:color w:val="000000"/>
              </w:rPr>
              <w:br/>
              <w:t xml:space="preserve"> and vocabulary to explain the topic.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structures,</w:t>
            </w:r>
            <w:r>
              <w:rPr>
                <w:rFonts w:ascii="Calibri" w:hAnsi="Calibri"/>
                <w:color w:val="000000"/>
              </w:rPr>
              <w:br/>
              <w:t xml:space="preserve"> formatting structures, transitions, cohesion, precise language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 xml:space="preserve">e. Establish and maintain a formal style. </w:t>
            </w:r>
            <w:r w:rsidRPr="00705CF6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establish and maintain</w:t>
            </w:r>
            <w:r>
              <w:rPr>
                <w:rFonts w:ascii="Calibri" w:hAnsi="Calibri"/>
                <w:color w:val="000000"/>
              </w:rPr>
              <w:br/>
              <w:t xml:space="preserve"> a formal style.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formal style, </w:t>
            </w:r>
            <w:r>
              <w:rPr>
                <w:rFonts w:ascii="Calibri" w:hAnsi="Calibri"/>
                <w:color w:val="000000"/>
              </w:rPr>
              <w:br/>
              <w:t>informal style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W.8.2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informative/explanatory texts to examine a topic and convey ideas, concepts, and information</w:t>
            </w:r>
            <w:r>
              <w:rPr>
                <w:rFonts w:ascii="Calibri" w:hAnsi="Calibri"/>
                <w:color w:val="000000"/>
              </w:rPr>
              <w:br/>
              <w:t>through the selection, organization, and analysis of relevant content.</w:t>
            </w:r>
            <w:r>
              <w:rPr>
                <w:rFonts w:ascii="Calibri" w:hAnsi="Calibri"/>
                <w:color w:val="000000"/>
              </w:rPr>
              <w:br/>
              <w:t>f. Provide a concluding statement or section that follows from and supports the information or</w:t>
            </w:r>
            <w:r>
              <w:rPr>
                <w:rFonts w:ascii="Calibri" w:hAnsi="Calibri"/>
                <w:color w:val="000000"/>
              </w:rPr>
              <w:br/>
              <w:t xml:space="preserve">explanation presented. </w:t>
            </w:r>
            <w:r w:rsidRPr="00705CF6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provide a concluding</w:t>
            </w:r>
            <w:r>
              <w:rPr>
                <w:rFonts w:ascii="Calibri" w:hAnsi="Calibri"/>
                <w:color w:val="000000"/>
              </w:rPr>
              <w:br/>
              <w:t xml:space="preserve"> statement or section that supports the information presented.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concluding statement, </w:t>
            </w:r>
            <w:r>
              <w:rPr>
                <w:rFonts w:ascii="Calibri" w:hAnsi="Calibri"/>
                <w:color w:val="000000"/>
              </w:rPr>
              <w:br/>
              <w:t>concluding section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a. Engage and orient the reader by establishing a context and point of view and introducing a narrator and/or characters; organize an event</w:t>
            </w:r>
            <w:r>
              <w:rPr>
                <w:rFonts w:ascii="Calibri" w:hAnsi="Calibri"/>
                <w:color w:val="000000"/>
              </w:rPr>
              <w:br/>
              <w:t xml:space="preserve">sequence that unfolds naturally and logically. 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write narratives to develop real or imagined experiences or events.</w:t>
            </w:r>
            <w:r>
              <w:rPr>
                <w:rFonts w:ascii="Calibri" w:hAnsi="Calibri"/>
                <w:color w:val="000000"/>
              </w:rPr>
              <w:br/>
              <w:t xml:space="preserve">* I can engage and orient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the  </w:t>
            </w:r>
            <w:proofErr w:type="gramEnd"/>
            <w:r>
              <w:rPr>
                <w:rFonts w:ascii="Calibri" w:hAnsi="Calibri"/>
                <w:color w:val="000000"/>
              </w:rPr>
              <w:br/>
              <w:t>reader by:</w:t>
            </w:r>
            <w:r>
              <w:rPr>
                <w:rFonts w:ascii="Calibri" w:hAnsi="Calibri"/>
                <w:color w:val="000000"/>
              </w:rPr>
              <w:br/>
              <w:t>- establishing a context</w:t>
            </w:r>
            <w:r>
              <w:rPr>
                <w:rFonts w:ascii="Calibri" w:hAnsi="Calibri"/>
                <w:color w:val="000000"/>
              </w:rPr>
              <w:br/>
              <w:t>- establishing a point of view</w:t>
            </w:r>
            <w:r>
              <w:rPr>
                <w:rFonts w:ascii="Calibri" w:hAnsi="Calibri"/>
                <w:color w:val="000000"/>
              </w:rPr>
              <w:br/>
              <w:t>- introducing a narrator and/or characters</w:t>
            </w:r>
            <w:r>
              <w:rPr>
                <w:rFonts w:ascii="Calibri" w:hAnsi="Calibri"/>
                <w:color w:val="000000"/>
              </w:rPr>
              <w:br/>
              <w:t xml:space="preserve">- organizing my events so that they unfold naturally and logically. 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narrative, plot structure, </w:t>
            </w:r>
            <w:r>
              <w:rPr>
                <w:rFonts w:ascii="Calibri" w:hAnsi="Calibri"/>
                <w:color w:val="000000"/>
              </w:rPr>
              <w:br/>
              <w:t>context, point of view, narrator, characters, engage, orient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b. Use narrative techniques, such as dialogue, pacing, and description, to develop experiences, events, and/or characters.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narrative techniques</w:t>
            </w:r>
            <w:r>
              <w:rPr>
                <w:rFonts w:ascii="Calibri" w:hAnsi="Calibri"/>
                <w:color w:val="000000"/>
              </w:rPr>
              <w:br/>
              <w:t>to develop experiences, events, and/or characters.</w:t>
            </w:r>
            <w:r>
              <w:rPr>
                <w:rFonts w:ascii="Calibri" w:hAnsi="Calibri"/>
                <w:color w:val="000000"/>
              </w:rPr>
              <w:br/>
              <w:t>(e.g., dialogue, pacing, and description)\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narrative techniques, </w:t>
            </w:r>
            <w:r>
              <w:rPr>
                <w:rFonts w:ascii="Calibri" w:hAnsi="Calibri"/>
                <w:color w:val="000000"/>
              </w:rPr>
              <w:br/>
              <w:t>dialogue, pacing, description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D6E3BC" w:themeFill="accent3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c. Use a variety of transition words, phrases, and clauses to convey sequence and signal shifts</w:t>
            </w:r>
            <w:r>
              <w:rPr>
                <w:rFonts w:ascii="Calibri" w:hAnsi="Calibri"/>
                <w:color w:val="000000"/>
              </w:rPr>
              <w:br/>
              <w:t>from one time frame or setting to another.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*I can use a variety of transition</w:t>
            </w:r>
            <w:r>
              <w:rPr>
                <w:rFonts w:ascii="Calibri" w:hAnsi="Calibri"/>
                <w:color w:val="000000"/>
              </w:rPr>
              <w:br/>
              <w:t xml:space="preserve"> words, phrases, and clauses to</w:t>
            </w:r>
            <w:proofErr w:type="gramStart"/>
            <w:r>
              <w:rPr>
                <w:rFonts w:ascii="Calibri" w:hAnsi="Calibri"/>
                <w:color w:val="000000"/>
              </w:rPr>
              <w:t>: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convey sequence</w:t>
            </w:r>
            <w:r>
              <w:rPr>
                <w:rFonts w:ascii="Calibri" w:hAnsi="Calibri"/>
                <w:color w:val="000000"/>
              </w:rPr>
              <w:br/>
              <w:t>- signal shifts from one time frame or setting to another.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transition words, </w:t>
            </w:r>
            <w:r>
              <w:rPr>
                <w:rFonts w:ascii="Calibri" w:hAnsi="Calibri"/>
                <w:color w:val="000000"/>
              </w:rPr>
              <w:br/>
              <w:t xml:space="preserve">transition  phrases, </w:t>
            </w:r>
            <w:r>
              <w:rPr>
                <w:rFonts w:ascii="Calibri" w:hAnsi="Calibri"/>
                <w:color w:val="000000"/>
              </w:rPr>
              <w:br/>
              <w:t>transition clauses,</w:t>
            </w:r>
            <w:r>
              <w:rPr>
                <w:rFonts w:ascii="Calibri" w:hAnsi="Calibri"/>
                <w:color w:val="000000"/>
              </w:rPr>
              <w:br/>
              <w:t>convey sequence,</w:t>
            </w:r>
            <w:r>
              <w:rPr>
                <w:rFonts w:ascii="Calibri" w:hAnsi="Calibri"/>
                <w:color w:val="000000"/>
              </w:rPr>
              <w:br/>
              <w:t>signal shifts, time frame, setting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Writing</w:t>
            </w:r>
          </w:p>
        </w:tc>
        <w:tc>
          <w:tcPr>
            <w:tcW w:w="9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Text Types and Purposes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d. Use precise words and phrases, relevant descriptive details, and sensory language to capture the action and convey experiences</w:t>
            </w:r>
            <w:r>
              <w:rPr>
                <w:rFonts w:ascii="Calibri" w:hAnsi="Calibri"/>
                <w:color w:val="000000"/>
              </w:rPr>
              <w:br/>
              <w:t>and events.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capture the action and </w:t>
            </w:r>
            <w:r>
              <w:rPr>
                <w:rFonts w:ascii="Calibri" w:hAnsi="Calibri"/>
                <w:color w:val="000000"/>
              </w:rPr>
              <w:br/>
              <w:t>convey experience and events by:</w:t>
            </w:r>
            <w:r>
              <w:rPr>
                <w:rFonts w:ascii="Calibri" w:hAnsi="Calibri"/>
                <w:color w:val="000000"/>
              </w:rPr>
              <w:br/>
              <w:t>- using precise words and phrases</w:t>
            </w:r>
            <w:r>
              <w:rPr>
                <w:rFonts w:ascii="Calibri" w:hAnsi="Calibri"/>
                <w:color w:val="000000"/>
              </w:rPr>
              <w:br/>
              <w:t>- using relevant descriptive detail</w:t>
            </w:r>
            <w:r>
              <w:rPr>
                <w:rFonts w:ascii="Calibri" w:hAnsi="Calibri"/>
                <w:color w:val="000000"/>
              </w:rPr>
              <w:br/>
              <w:t>- using sensory language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capture the action, </w:t>
            </w:r>
            <w:r>
              <w:rPr>
                <w:rFonts w:ascii="Calibri" w:hAnsi="Calibri"/>
                <w:color w:val="000000"/>
              </w:rPr>
              <w:br/>
              <w:t>covey experiences, precise, relevant, descriptive detail, sensory language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W.8.3  Write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narratives to develop real or imagined experiences or events using effective technique,</w:t>
            </w:r>
            <w:r>
              <w:rPr>
                <w:rFonts w:ascii="Calibri" w:hAnsi="Calibri"/>
                <w:color w:val="000000"/>
              </w:rPr>
              <w:br/>
              <w:t>relevant descriptive details, and well-structured event sequences.</w:t>
            </w:r>
            <w:r>
              <w:rPr>
                <w:rFonts w:ascii="Calibri" w:hAnsi="Calibri"/>
                <w:color w:val="000000"/>
              </w:rPr>
              <w:br/>
              <w:t>e. Provide a conclusion that follows from and reflects on the narrated experiences or events.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provide a conclusion</w:t>
            </w:r>
            <w:r>
              <w:rPr>
                <w:rFonts w:ascii="Calibri" w:hAnsi="Calibri"/>
                <w:color w:val="000000"/>
              </w:rPr>
              <w:br/>
              <w:t>that follows from and reflects on the narrated experiences or events.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conclusion, reflects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Speaking and Listening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Presentation of Knowledge &amp; Ideas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SL.8.5  Integrate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multimedia and visual displays into presentations to clarify information, strengthen</w:t>
            </w:r>
            <w:r>
              <w:rPr>
                <w:rFonts w:ascii="Calibri" w:hAnsi="Calibri"/>
                <w:color w:val="000000"/>
              </w:rPr>
              <w:br/>
              <w:t xml:space="preserve">claims and evidence, and add interest. </w:t>
            </w:r>
            <w:r w:rsidRPr="005761B1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include multimedia</w:t>
            </w:r>
            <w:r>
              <w:rPr>
                <w:rFonts w:ascii="Calibri" w:hAnsi="Calibri"/>
                <w:color w:val="000000"/>
              </w:rPr>
              <w:br/>
              <w:t xml:space="preserve"> projects or visual displays when they will be helpful to clarify and emphasize information.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clarification, media </w:t>
            </w:r>
            <w:r>
              <w:rPr>
                <w:rFonts w:ascii="Calibri" w:hAnsi="Calibri"/>
                <w:color w:val="000000"/>
              </w:rPr>
              <w:br/>
              <w:t>component, visual display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SL.8.6 Adapt speech to a variety of contexts and tasks, demonstrating command of formal English when</w:t>
            </w:r>
            <w:r>
              <w:rPr>
                <w:rFonts w:ascii="Calibri" w:hAnsi="Calibri"/>
                <w:color w:val="000000"/>
              </w:rPr>
              <w:br/>
              <w:t>indicated or appropriate. (See grade 8 Language standards 1 and 3 on page 53 for specific</w:t>
            </w:r>
            <w:r>
              <w:rPr>
                <w:rFonts w:ascii="Calibri" w:hAnsi="Calibri"/>
                <w:color w:val="000000"/>
              </w:rPr>
              <w:br/>
              <w:t xml:space="preserve">expectations.) </w:t>
            </w:r>
            <w:r w:rsidRPr="005761B1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adapt my speech to a</w:t>
            </w:r>
            <w:r>
              <w:rPr>
                <w:rFonts w:ascii="Calibri" w:hAnsi="Calibri"/>
                <w:color w:val="000000"/>
              </w:rPr>
              <w:br/>
              <w:t xml:space="preserve"> variety of tasks and contexts, and demonstrate a command of formal English when appropriate.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formal style, </w:t>
            </w:r>
            <w:r>
              <w:rPr>
                <w:rFonts w:ascii="Calibri" w:hAnsi="Calibri"/>
                <w:color w:val="000000"/>
              </w:rPr>
              <w:br/>
              <w:t>informal style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L.8.1   Demonstrate command of the conventions of standard English grammar and usage when writing</w:t>
            </w:r>
            <w:r>
              <w:rPr>
                <w:rFonts w:ascii="Calibri" w:hAnsi="Calibri"/>
                <w:color w:val="000000"/>
              </w:rPr>
              <w:br/>
              <w:t>or speaking.</w:t>
            </w:r>
            <w:r>
              <w:rPr>
                <w:rFonts w:ascii="Calibri" w:hAnsi="Calibri"/>
                <w:color w:val="000000"/>
              </w:rPr>
              <w:br/>
              <w:t>c. Form and use verbs in the indicative, imperative, interrogative, conditional, and subjunctive mood.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form and use verbs in the</w:t>
            </w:r>
            <w:r>
              <w:rPr>
                <w:rFonts w:ascii="Calibri" w:hAnsi="Calibri"/>
                <w:color w:val="000000"/>
              </w:rPr>
              <w:br/>
              <w:t xml:space="preserve"> indicative, imperative, interrogative, conditional, and subjunctive mood.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gerund, participle,</w:t>
            </w:r>
            <w:r>
              <w:rPr>
                <w:rFonts w:ascii="Calibri" w:hAnsi="Calibri"/>
                <w:color w:val="000000"/>
              </w:rPr>
              <w:br/>
              <w:t xml:space="preserve"> infinitive, active/passive voice, mood: indicative, imperative, interrogative, conditional, subjunctive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L.8.1   Demonstrate command of the conventions of standard English grammar and usage when writing</w:t>
            </w:r>
            <w:r>
              <w:rPr>
                <w:rFonts w:ascii="Calibri" w:hAnsi="Calibri"/>
                <w:color w:val="000000"/>
              </w:rPr>
              <w:br/>
              <w:t>or speaking.</w:t>
            </w:r>
            <w:r>
              <w:rPr>
                <w:rFonts w:ascii="Calibri" w:hAnsi="Calibri"/>
                <w:color w:val="000000"/>
              </w:rPr>
              <w:br/>
              <w:t xml:space="preserve">d. Recognize and correct inappropriate shifts in verb voice and mood.* </w:t>
            </w:r>
            <w:r w:rsidRPr="005761B1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recognize and correct </w:t>
            </w:r>
            <w:r>
              <w:rPr>
                <w:rFonts w:ascii="Calibri" w:hAnsi="Calibri"/>
                <w:color w:val="000000"/>
              </w:rPr>
              <w:br/>
              <w:t>inappropriate shifts in verb voice and mood.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gerund, participle,</w:t>
            </w:r>
            <w:r>
              <w:rPr>
                <w:rFonts w:ascii="Calibri" w:hAnsi="Calibri"/>
                <w:color w:val="000000"/>
              </w:rPr>
              <w:br/>
              <w:t xml:space="preserve"> infinitive, active/passive voice, mood: indicative, imperative, interrogative, conditional, subjunctive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L.8.2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a. Use punctuation (comma, ellipsis, dash) to indicate a pause or break.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punctuation to</w:t>
            </w:r>
            <w:r>
              <w:rPr>
                <w:rFonts w:ascii="Calibri" w:hAnsi="Calibri"/>
                <w:color w:val="000000"/>
              </w:rPr>
              <w:br/>
              <w:t xml:space="preserve"> indicate a pause or a break. (e.g., comma, ellipsis, dash)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ellipsis, dash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L.8.2  Demonstrate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command of the conventions of standard English capitalization, punctuation, and</w:t>
            </w:r>
            <w:r>
              <w:rPr>
                <w:rFonts w:ascii="Calibri" w:hAnsi="Calibri"/>
                <w:color w:val="000000"/>
              </w:rPr>
              <w:br/>
              <w:t>spelling when writing.</w:t>
            </w:r>
            <w:r>
              <w:rPr>
                <w:rFonts w:ascii="Calibri" w:hAnsi="Calibri"/>
                <w:color w:val="000000"/>
              </w:rPr>
              <w:br/>
              <w:t>b. Use an ellipsis to indicate an omission.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I can use an ellipsis to indicate</w:t>
            </w:r>
            <w:r>
              <w:rPr>
                <w:rFonts w:ascii="Calibri" w:hAnsi="Calibri"/>
                <w:color w:val="000000"/>
              </w:rPr>
              <w:br/>
              <w:t xml:space="preserve"> an omission. 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ellipsis, dash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Language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Vocabulary Acquisition and Use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L.8.4  Determine or clarify the meaning of unknown and multiple-meaning words or phrases based on grade 8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 xml:space="preserve">b. Use common, grade-appropriate Greek or Latin affixes and roots as clues to the meaning of a word (e.g., precede, recede, </w:t>
            </w:r>
            <w:proofErr w:type="gramStart"/>
            <w:r>
              <w:rPr>
                <w:rFonts w:ascii="Calibri" w:hAnsi="Calibri"/>
                <w:color w:val="000000"/>
              </w:rPr>
              <w:t>secede</w:t>
            </w:r>
            <w:proofErr w:type="gram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*  I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can use common Greek and Latin affixes and roots to ﬁgure out word meanings.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br/>
              <w:t>* I can verify what I think a word means by looking it up.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infer, context clues,</w:t>
            </w:r>
            <w:r>
              <w:rPr>
                <w:rFonts w:ascii="Calibri" w:hAnsi="Calibri"/>
                <w:color w:val="000000"/>
              </w:rPr>
              <w:br/>
              <w:t xml:space="preserve"> affix, root, reference material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L.8.4  Determine or clarify the meaning of unknown and multiple-meaning words or phrases based on grade 8 reading and content, choosing flexibly from a range of strategies.</w:t>
            </w:r>
            <w:r>
              <w:rPr>
                <w:rFonts w:ascii="Calibri" w:hAnsi="Calibri"/>
                <w:color w:val="000000"/>
              </w:rPr>
              <w:br/>
              <w:t>c. Consult general and specialized reference materials (e.g., dictionaries, glossaries, thesauruses), both print and digital, to find the</w:t>
            </w:r>
            <w:r>
              <w:rPr>
                <w:rFonts w:ascii="Calibri" w:hAnsi="Calibri"/>
                <w:color w:val="000000"/>
              </w:rPr>
              <w:br/>
              <w:t xml:space="preserve">pronunciation of a word or determine or clarify its precise meaning or its part of speech. </w:t>
            </w:r>
          </w:p>
          <w:p w:rsidR="00393718" w:rsidRDefault="00393718">
            <w:pPr>
              <w:rPr>
                <w:rFonts w:ascii="Calibri" w:hAnsi="Calibri"/>
                <w:color w:val="000000"/>
              </w:rPr>
            </w:pPr>
            <w:r w:rsidRPr="005761B1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both print and digital</w:t>
            </w:r>
            <w:r>
              <w:rPr>
                <w:rFonts w:ascii="Calibri" w:hAnsi="Calibri"/>
                <w:color w:val="000000"/>
              </w:rPr>
              <w:br/>
              <w:t xml:space="preserve"> reference materials </w:t>
            </w:r>
            <w:r>
              <w:rPr>
                <w:rFonts w:ascii="Calibri" w:hAnsi="Calibri"/>
                <w:color w:val="000000"/>
              </w:rPr>
              <w:br/>
              <w:t xml:space="preserve">(e.g., dictionaries, glossaries, thesauruses) to determine pronunciation, meaning, or part of speech of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a  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word. 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infer, context clues,</w:t>
            </w:r>
            <w:r>
              <w:rPr>
                <w:rFonts w:ascii="Calibri" w:hAnsi="Calibri"/>
                <w:color w:val="000000"/>
              </w:rPr>
              <w:br/>
              <w:t xml:space="preserve"> affix, root, reference material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  <w:tr w:rsidR="00393718" w:rsidRPr="00303C7E" w:rsidTr="00393718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393718" w:rsidRPr="00303C7E" w:rsidRDefault="00393718" w:rsidP="000F78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L.8.5 Demonstrate understanding of figurative language, word relationships, and nuances in word meanings. </w:t>
            </w:r>
          </w:p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Interpret figures of speech (e.g. verbal irony, puns) in context. </w:t>
            </w:r>
            <w:r w:rsidRPr="005761B1">
              <w:rPr>
                <w:rFonts w:ascii="Calibri" w:hAnsi="Calibri"/>
                <w:b/>
                <w:color w:val="000000"/>
              </w:rPr>
              <w:t>On-Going</w:t>
            </w:r>
          </w:p>
        </w:tc>
        <w:tc>
          <w:tcPr>
            <w:tcW w:w="396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 I can interpret ﬁgures of </w:t>
            </w:r>
            <w:r>
              <w:rPr>
                <w:rFonts w:ascii="Calibri" w:hAnsi="Calibri"/>
                <w:color w:val="000000"/>
              </w:rPr>
              <w:br/>
              <w:t>speech (e.g. verbal irony, puns</w:t>
            </w:r>
            <w:proofErr w:type="gramStart"/>
            <w:r>
              <w:rPr>
                <w:rFonts w:ascii="Calibri" w:hAnsi="Calibri"/>
                <w:color w:val="000000"/>
              </w:rPr>
              <w:t>)  in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context, use the relationships between words to better understand each word’s meaning.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figure of speech, </w:t>
            </w:r>
            <w:r>
              <w:rPr>
                <w:rFonts w:ascii="Calibri" w:hAnsi="Calibri"/>
                <w:color w:val="000000"/>
              </w:rPr>
              <w:br/>
              <w:t>literal language, word relationships, denotation, connotation</w:t>
            </w:r>
          </w:p>
        </w:tc>
        <w:tc>
          <w:tcPr>
            <w:tcW w:w="2430" w:type="dxa"/>
            <w:shd w:val="clear" w:color="auto" w:fill="auto"/>
          </w:tcPr>
          <w:p w:rsidR="00393718" w:rsidRDefault="00393718" w:rsidP="000F7828">
            <w:pPr>
              <w:rPr>
                <w:rFonts w:ascii="Calibri" w:hAnsi="Calibri"/>
                <w:color w:val="000000"/>
              </w:rPr>
            </w:pPr>
          </w:p>
        </w:tc>
      </w:tr>
    </w:tbl>
    <w:p w:rsidR="00914CB0" w:rsidRDefault="00914CB0"/>
    <w:p w:rsidR="000F7828" w:rsidRPr="000F7828" w:rsidRDefault="000F7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!!! Please remember that most ELA standards are on-going and revisit them as you teach!!!</w:t>
      </w:r>
      <w:bookmarkStart w:id="0" w:name="_GoBack"/>
      <w:bookmarkEnd w:id="0"/>
    </w:p>
    <w:sectPr w:rsidR="000F7828" w:rsidRPr="000F7828" w:rsidSect="00705CF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9A" w:rsidRDefault="00CF179A" w:rsidP="005761B1">
      <w:pPr>
        <w:spacing w:after="0" w:line="240" w:lineRule="auto"/>
      </w:pPr>
      <w:r>
        <w:separator/>
      </w:r>
    </w:p>
  </w:endnote>
  <w:endnote w:type="continuationSeparator" w:id="0">
    <w:p w:rsidR="00CF179A" w:rsidRDefault="00CF179A" w:rsidP="0057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253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7828" w:rsidRDefault="000F78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03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03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7828" w:rsidRDefault="000F7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9A" w:rsidRDefault="00CF179A" w:rsidP="005761B1">
      <w:pPr>
        <w:spacing w:after="0" w:line="240" w:lineRule="auto"/>
      </w:pPr>
      <w:r>
        <w:separator/>
      </w:r>
    </w:p>
  </w:footnote>
  <w:footnote w:type="continuationSeparator" w:id="0">
    <w:p w:rsidR="00CF179A" w:rsidRDefault="00CF179A" w:rsidP="0057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28" w:rsidRDefault="000F7828">
    <w:pPr>
      <w:pStyle w:val="Header"/>
    </w:pPr>
    <w:r>
      <w:t>8</w:t>
    </w:r>
    <w:r w:rsidRPr="005761B1">
      <w:rPr>
        <w:vertAlign w:val="superscript"/>
      </w:rPr>
      <w:t>th</w:t>
    </w:r>
    <w:r>
      <w:t xml:space="preserve"> Grade ELA – 2</w:t>
    </w:r>
    <w:r w:rsidRPr="005761B1">
      <w:rPr>
        <w:vertAlign w:val="superscript"/>
      </w:rPr>
      <w:t>nd</w:t>
    </w:r>
    <w:r>
      <w:t xml:space="preserve"> Quarter</w:t>
    </w:r>
  </w:p>
  <w:p w:rsidR="000F7828" w:rsidRDefault="000F7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F6"/>
    <w:rsid w:val="00061AA9"/>
    <w:rsid w:val="000F7828"/>
    <w:rsid w:val="00112F1E"/>
    <w:rsid w:val="00393718"/>
    <w:rsid w:val="005761B1"/>
    <w:rsid w:val="0060391D"/>
    <w:rsid w:val="00705CF6"/>
    <w:rsid w:val="00730035"/>
    <w:rsid w:val="00914CB0"/>
    <w:rsid w:val="00960D07"/>
    <w:rsid w:val="00A3126C"/>
    <w:rsid w:val="00B74C90"/>
    <w:rsid w:val="00C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B1"/>
  </w:style>
  <w:style w:type="paragraph" w:styleId="Footer">
    <w:name w:val="footer"/>
    <w:basedOn w:val="Normal"/>
    <w:link w:val="FooterChar"/>
    <w:uiPriority w:val="99"/>
    <w:unhideWhenUsed/>
    <w:rsid w:val="0057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B1"/>
  </w:style>
  <w:style w:type="paragraph" w:styleId="BalloonText">
    <w:name w:val="Balloon Text"/>
    <w:basedOn w:val="Normal"/>
    <w:link w:val="BalloonTextChar"/>
    <w:uiPriority w:val="99"/>
    <w:semiHidden/>
    <w:unhideWhenUsed/>
    <w:rsid w:val="0057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B1"/>
  </w:style>
  <w:style w:type="paragraph" w:styleId="Footer">
    <w:name w:val="footer"/>
    <w:basedOn w:val="Normal"/>
    <w:link w:val="FooterChar"/>
    <w:uiPriority w:val="99"/>
    <w:unhideWhenUsed/>
    <w:rsid w:val="0057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B1"/>
  </w:style>
  <w:style w:type="paragraph" w:styleId="BalloonText">
    <w:name w:val="Balloon Text"/>
    <w:basedOn w:val="Normal"/>
    <w:link w:val="BalloonTextChar"/>
    <w:uiPriority w:val="99"/>
    <w:semiHidden/>
    <w:unhideWhenUsed/>
    <w:rsid w:val="0057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2013-08-05T16:24:00Z</cp:lastPrinted>
  <dcterms:created xsi:type="dcterms:W3CDTF">2013-06-29T21:34:00Z</dcterms:created>
  <dcterms:modified xsi:type="dcterms:W3CDTF">2013-08-05T18:08:00Z</dcterms:modified>
</cp:coreProperties>
</file>